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F693A" w14:textId="76527EA4" w:rsidR="00F91E77" w:rsidRPr="00F750AE" w:rsidRDefault="00F750AE">
      <w:pPr>
        <w:rPr>
          <w:sz w:val="44"/>
          <w:szCs w:val="44"/>
        </w:rPr>
      </w:pPr>
      <w:hyperlink r:id="rId4" w:tgtFrame="_blank" w:history="1">
        <w:r w:rsidRPr="00F750AE">
          <w:rPr>
            <w:rStyle w:val="Lienhypertexte"/>
            <w:rFonts w:ascii="Calibri" w:hAnsi="Calibri" w:cs="Calibri"/>
            <w:sz w:val="28"/>
            <w:szCs w:val="28"/>
          </w:rPr>
          <w:t>Outstanding Advances</w:t>
        </w:r>
      </w:hyperlink>
    </w:p>
    <w:p w14:paraId="32ED81BE" w14:textId="409F5B11" w:rsidR="00F750AE" w:rsidRDefault="00F750AE">
      <w:r w:rsidRPr="00F750AE">
        <w:drawing>
          <wp:inline distT="0" distB="0" distL="0" distR="0" wp14:anchorId="349899E0" wp14:editId="337BD853">
            <wp:extent cx="5760720" cy="1587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587500"/>
                    </a:xfrm>
                    <a:prstGeom prst="rect">
                      <a:avLst/>
                    </a:prstGeom>
                  </pic:spPr>
                </pic:pic>
              </a:graphicData>
            </a:graphic>
          </wp:inline>
        </w:drawing>
      </w:r>
    </w:p>
    <w:p w14:paraId="3C75831A" w14:textId="60DAE20C" w:rsidR="00F750AE" w:rsidRPr="00F750AE" w:rsidRDefault="00F750AE">
      <w:pPr>
        <w:rPr>
          <w:rStyle w:val="Lienhypertexte"/>
          <w:rFonts w:ascii="Calibri" w:hAnsi="Calibri" w:cs="Calibri"/>
          <w:sz w:val="28"/>
          <w:szCs w:val="28"/>
        </w:rPr>
      </w:pPr>
      <w:hyperlink r:id="rId6" w:tgtFrame="_blank" w:history="1">
        <w:r w:rsidRPr="00F750AE">
          <w:rPr>
            <w:rStyle w:val="Lienhypertexte"/>
            <w:rFonts w:ascii="Calibri" w:hAnsi="Calibri" w:cs="Calibri"/>
            <w:sz w:val="28"/>
            <w:szCs w:val="28"/>
          </w:rPr>
          <w:t>Outstanding Advances Other</w:t>
        </w:r>
      </w:hyperlink>
    </w:p>
    <w:p w14:paraId="153F11BE" w14:textId="6BD4E060" w:rsidR="00F750AE" w:rsidRDefault="00F750AE">
      <w:r w:rsidRPr="00F750AE">
        <w:drawing>
          <wp:inline distT="0" distB="0" distL="0" distR="0" wp14:anchorId="7762D005" wp14:editId="6D9DC642">
            <wp:extent cx="5760720"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009650"/>
                    </a:xfrm>
                    <a:prstGeom prst="rect">
                      <a:avLst/>
                    </a:prstGeom>
                  </pic:spPr>
                </pic:pic>
              </a:graphicData>
            </a:graphic>
          </wp:inline>
        </w:drawing>
      </w:r>
    </w:p>
    <w:p w14:paraId="60B0C699" w14:textId="36C662AD" w:rsidR="008F4562" w:rsidRPr="008F4562" w:rsidRDefault="008F4562">
      <w:pPr>
        <w:rPr>
          <w:rStyle w:val="Lienhypertexte"/>
          <w:rFonts w:ascii="Calibri" w:hAnsi="Calibri" w:cs="Calibri"/>
          <w:sz w:val="28"/>
          <w:szCs w:val="28"/>
        </w:rPr>
      </w:pPr>
      <w:r w:rsidRPr="008F4562">
        <w:rPr>
          <w:rStyle w:val="Lienhypertexte"/>
          <w:rFonts w:ascii="Calibri" w:hAnsi="Calibri" w:cs="Calibri"/>
          <w:sz w:val="28"/>
          <w:szCs w:val="28"/>
        </w:rPr>
        <w:t>No outstanding Project Delivery Reports (PDRs);</w:t>
      </w:r>
    </w:p>
    <w:p w14:paraId="73C4658E" w14:textId="011FCE39" w:rsidR="008F4562" w:rsidRPr="008F4562" w:rsidRDefault="008F4562">
      <w:pPr>
        <w:rPr>
          <w:lang w:val="fr-TG"/>
        </w:rPr>
      </w:pPr>
      <w:r>
        <w:rPr>
          <w:rStyle w:val="pseditboxdisponly"/>
          <w:lang w:val="fr-TG"/>
        </w:rPr>
        <w:t>Non applicable</w:t>
      </w:r>
    </w:p>
    <w:p w14:paraId="1B1D84FC" w14:textId="13857FEB" w:rsidR="00F750AE" w:rsidRPr="00F750AE" w:rsidRDefault="00F750AE">
      <w:pPr>
        <w:rPr>
          <w:rStyle w:val="Lienhypertexte"/>
          <w:sz w:val="28"/>
          <w:szCs w:val="28"/>
        </w:rPr>
      </w:pPr>
      <w:hyperlink r:id="rId8" w:tgtFrame="_blank" w:history="1">
        <w:r w:rsidRPr="00F750AE">
          <w:rPr>
            <w:rStyle w:val="Lienhypertexte"/>
            <w:rFonts w:ascii="Calibri" w:hAnsi="Calibri" w:cs="Calibri"/>
            <w:sz w:val="28"/>
            <w:szCs w:val="28"/>
          </w:rPr>
          <w:t>Open Purchase Orders</w:t>
        </w:r>
      </w:hyperlink>
    </w:p>
    <w:p w14:paraId="0389120C" w14:textId="7A695F70" w:rsidR="00F750AE" w:rsidRDefault="00F750AE">
      <w:r w:rsidRPr="00F750AE">
        <w:drawing>
          <wp:inline distT="0" distB="0" distL="0" distR="0" wp14:anchorId="1539EE19" wp14:editId="4EF3CF6D">
            <wp:extent cx="5760720" cy="10267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026795"/>
                    </a:xfrm>
                    <a:prstGeom prst="rect">
                      <a:avLst/>
                    </a:prstGeom>
                  </pic:spPr>
                </pic:pic>
              </a:graphicData>
            </a:graphic>
          </wp:inline>
        </w:drawing>
      </w:r>
    </w:p>
    <w:p w14:paraId="377F5089" w14:textId="0F24CFBE" w:rsidR="00F750AE" w:rsidRPr="008F4562" w:rsidRDefault="008F4562">
      <w:pPr>
        <w:rPr>
          <w:rStyle w:val="Lienhypertexte"/>
          <w:rFonts w:ascii="Calibri" w:hAnsi="Calibri" w:cs="Calibri"/>
          <w:sz w:val="28"/>
          <w:szCs w:val="28"/>
        </w:rPr>
      </w:pPr>
      <w:hyperlink r:id="rId10" w:tgtFrame="_blank" w:history="1">
        <w:r w:rsidRPr="008F4562">
          <w:rPr>
            <w:rStyle w:val="Lienhypertexte"/>
            <w:rFonts w:ascii="Calibri" w:hAnsi="Calibri" w:cs="Calibri"/>
            <w:sz w:val="28"/>
            <w:szCs w:val="28"/>
          </w:rPr>
          <w:t>Receipt Accruals</w:t>
        </w:r>
      </w:hyperlink>
    </w:p>
    <w:p w14:paraId="424DB2A7" w14:textId="5C40832A" w:rsidR="00F750AE" w:rsidRDefault="00F750AE">
      <w:r w:rsidRPr="00F750AE">
        <w:drawing>
          <wp:inline distT="0" distB="0" distL="0" distR="0" wp14:anchorId="6BD805AA" wp14:editId="687DC41C">
            <wp:extent cx="5760720" cy="21666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66620"/>
                    </a:xfrm>
                    <a:prstGeom prst="rect">
                      <a:avLst/>
                    </a:prstGeom>
                  </pic:spPr>
                </pic:pic>
              </a:graphicData>
            </a:graphic>
          </wp:inline>
        </w:drawing>
      </w:r>
    </w:p>
    <w:p w14:paraId="31F4DB91" w14:textId="779AC051" w:rsidR="008F4562" w:rsidRPr="00BA06A6" w:rsidRDefault="00BA06A6">
      <w:pPr>
        <w:rPr>
          <w:rStyle w:val="Lienhypertexte"/>
          <w:rFonts w:ascii="Calibri" w:hAnsi="Calibri" w:cs="Calibri"/>
          <w:sz w:val="28"/>
          <w:szCs w:val="28"/>
        </w:rPr>
      </w:pPr>
      <w:r w:rsidRPr="00BA06A6">
        <w:rPr>
          <w:rStyle w:val="Lienhypertexte"/>
          <w:rFonts w:ascii="Calibri" w:hAnsi="Calibri" w:cs="Calibri"/>
          <w:sz w:val="28"/>
          <w:szCs w:val="28"/>
        </w:rPr>
        <w:t>No Outstanding Commitment</w:t>
      </w:r>
      <w:r w:rsidRPr="00BA06A6">
        <w:rPr>
          <w:rStyle w:val="Lienhypertexte"/>
          <w:rFonts w:ascii="Calibri" w:hAnsi="Calibri" w:cs="Calibri"/>
          <w:sz w:val="28"/>
          <w:szCs w:val="28"/>
        </w:rPr>
        <w:t>s</w:t>
      </w:r>
    </w:p>
    <w:p w14:paraId="06D0DBC4" w14:textId="6DC15FE9" w:rsidR="00BA06A6" w:rsidRDefault="00BA06A6">
      <w:pPr>
        <w:rPr>
          <w:lang w:val="fr-TG"/>
        </w:rPr>
      </w:pPr>
      <w:r>
        <w:rPr>
          <w:lang w:val="fr-TG"/>
        </w:rPr>
        <w:t>Aucun PO ouvert sur le projet</w:t>
      </w:r>
    </w:p>
    <w:p w14:paraId="2E897065" w14:textId="533871B1" w:rsidR="00BA06A6" w:rsidRPr="0017004B" w:rsidRDefault="0017004B">
      <w:pPr>
        <w:rPr>
          <w:rStyle w:val="Lienhypertexte"/>
          <w:sz w:val="28"/>
          <w:szCs w:val="28"/>
        </w:rPr>
      </w:pPr>
      <w:hyperlink r:id="rId12" w:tgtFrame="_blank" w:history="1">
        <w:r w:rsidRPr="0017004B">
          <w:rPr>
            <w:rStyle w:val="Lienhypertexte"/>
            <w:rFonts w:ascii="Calibri" w:hAnsi="Calibri" w:cs="Calibri"/>
            <w:sz w:val="28"/>
            <w:szCs w:val="28"/>
          </w:rPr>
          <w:t>Prepaid Vouchers</w:t>
        </w:r>
      </w:hyperlink>
    </w:p>
    <w:p w14:paraId="376E6E44" w14:textId="24A1919A" w:rsidR="0017004B" w:rsidRDefault="0017004B">
      <w:pPr>
        <w:rPr>
          <w:lang w:val="fr-TG"/>
        </w:rPr>
      </w:pPr>
      <w:r w:rsidRPr="0017004B">
        <w:rPr>
          <w:lang w:val="fr-TG"/>
        </w:rPr>
        <w:lastRenderedPageBreak/>
        <w:drawing>
          <wp:inline distT="0" distB="0" distL="0" distR="0" wp14:anchorId="7CC08D0B" wp14:editId="7141517A">
            <wp:extent cx="5760720" cy="11226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22680"/>
                    </a:xfrm>
                    <a:prstGeom prst="rect">
                      <a:avLst/>
                    </a:prstGeom>
                  </pic:spPr>
                </pic:pic>
              </a:graphicData>
            </a:graphic>
          </wp:inline>
        </w:drawing>
      </w:r>
    </w:p>
    <w:p w14:paraId="655B9709" w14:textId="693E81AE" w:rsidR="00FA20CB" w:rsidRPr="00FA20CB" w:rsidRDefault="00FA20CB">
      <w:pPr>
        <w:rPr>
          <w:rStyle w:val="Lienhypertexte"/>
          <w:sz w:val="28"/>
          <w:szCs w:val="28"/>
        </w:rPr>
      </w:pPr>
      <w:hyperlink r:id="rId14" w:tgtFrame="_blank" w:history="1">
        <w:r w:rsidRPr="00FA20CB">
          <w:rPr>
            <w:rStyle w:val="Lienhypertexte"/>
            <w:rFonts w:ascii="Calibri" w:hAnsi="Calibri" w:cs="Calibri"/>
            <w:sz w:val="28"/>
            <w:szCs w:val="28"/>
          </w:rPr>
          <w:t>No Pending Vouchers</w:t>
        </w:r>
      </w:hyperlink>
    </w:p>
    <w:p w14:paraId="1E01D6DD" w14:textId="0B327055" w:rsidR="00FA20CB" w:rsidRDefault="00FA20CB">
      <w:pPr>
        <w:rPr>
          <w:lang w:val="fr-TG"/>
        </w:rPr>
      </w:pPr>
      <w:r w:rsidRPr="00FA20CB">
        <w:rPr>
          <w:lang w:val="fr-TG"/>
        </w:rPr>
        <w:drawing>
          <wp:inline distT="0" distB="0" distL="0" distR="0" wp14:anchorId="290C2A8C" wp14:editId="4A91C02D">
            <wp:extent cx="5760720" cy="14928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492885"/>
                    </a:xfrm>
                    <a:prstGeom prst="rect">
                      <a:avLst/>
                    </a:prstGeom>
                  </pic:spPr>
                </pic:pic>
              </a:graphicData>
            </a:graphic>
          </wp:inline>
        </w:drawing>
      </w:r>
    </w:p>
    <w:p w14:paraId="15CDD5D6" w14:textId="5855B06F" w:rsidR="00FA20CB" w:rsidRPr="00FA20CB" w:rsidRDefault="00FA20CB">
      <w:pPr>
        <w:rPr>
          <w:rStyle w:val="Lienhypertexte"/>
          <w:rFonts w:ascii="Calibri" w:hAnsi="Calibri" w:cs="Calibri"/>
          <w:sz w:val="28"/>
          <w:szCs w:val="28"/>
        </w:rPr>
      </w:pPr>
      <w:r w:rsidRPr="00FA20CB">
        <w:rPr>
          <w:rStyle w:val="Lienhypertexte"/>
          <w:rFonts w:ascii="Calibri" w:hAnsi="Calibri" w:cs="Calibri"/>
          <w:sz w:val="28"/>
          <w:szCs w:val="28"/>
        </w:rPr>
        <w:t>All pre-financing activities have been recovered and/or reimbursed.</w:t>
      </w:r>
    </w:p>
    <w:p w14:paraId="6A5E814A" w14:textId="50FBB968" w:rsidR="00FA20CB" w:rsidRDefault="00FA20CB">
      <w:pPr>
        <w:rPr>
          <w:rStyle w:val="pseditboxdisponly"/>
          <w:lang w:val="fr-TG"/>
        </w:rPr>
      </w:pPr>
      <w:r>
        <w:rPr>
          <w:rStyle w:val="pseditboxdisponly"/>
          <w:lang w:val="fr-TG"/>
        </w:rPr>
        <w:t>Non applicable</w:t>
      </w:r>
    </w:p>
    <w:p w14:paraId="6404BBB2" w14:textId="71CC6915" w:rsidR="00FA20CB" w:rsidRPr="00FA20CB" w:rsidRDefault="00FA20CB">
      <w:pPr>
        <w:rPr>
          <w:rStyle w:val="Lienhypertexte"/>
          <w:sz w:val="28"/>
          <w:szCs w:val="28"/>
        </w:rPr>
      </w:pPr>
      <w:hyperlink r:id="rId16" w:tgtFrame="_blank" w:history="1">
        <w:r w:rsidRPr="00FA20CB">
          <w:rPr>
            <w:rStyle w:val="Lienhypertexte"/>
            <w:rFonts w:ascii="Calibri" w:hAnsi="Calibri" w:cs="Calibri"/>
            <w:sz w:val="28"/>
            <w:szCs w:val="28"/>
          </w:rPr>
          <w:t>Charged GMS Rate %</w:t>
        </w:r>
      </w:hyperlink>
    </w:p>
    <w:p w14:paraId="49E84AAE" w14:textId="5E99BA97" w:rsidR="00FA20CB" w:rsidRDefault="00FA20CB">
      <w:pPr>
        <w:rPr>
          <w:lang w:val="fr-TG"/>
        </w:rPr>
      </w:pPr>
      <w:r w:rsidRPr="00FA20CB">
        <w:rPr>
          <w:lang w:val="fr-TG"/>
        </w:rPr>
        <w:drawing>
          <wp:inline distT="0" distB="0" distL="0" distR="0" wp14:anchorId="0DEBE670" wp14:editId="7D3612A8">
            <wp:extent cx="5760720" cy="14116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411605"/>
                    </a:xfrm>
                    <a:prstGeom prst="rect">
                      <a:avLst/>
                    </a:prstGeom>
                  </pic:spPr>
                </pic:pic>
              </a:graphicData>
            </a:graphic>
          </wp:inline>
        </w:drawing>
      </w:r>
    </w:p>
    <w:p w14:paraId="4A981C21" w14:textId="10424EEB" w:rsidR="00FA20CB" w:rsidRPr="00FA20CB" w:rsidRDefault="00FA20CB">
      <w:pPr>
        <w:rPr>
          <w:rStyle w:val="Lienhypertexte"/>
          <w:sz w:val="28"/>
          <w:szCs w:val="28"/>
        </w:rPr>
      </w:pPr>
      <w:hyperlink r:id="rId18" w:tgtFrame="_blank" w:history="1">
        <w:r w:rsidRPr="00FA20CB">
          <w:rPr>
            <w:rStyle w:val="Lienhypertexte"/>
            <w:rFonts w:ascii="Calibri" w:hAnsi="Calibri" w:cs="Calibri"/>
            <w:sz w:val="28"/>
            <w:szCs w:val="28"/>
          </w:rPr>
          <w:t>GLJEs Not Posted</w:t>
        </w:r>
      </w:hyperlink>
    </w:p>
    <w:p w14:paraId="5ADA49FD" w14:textId="4113E468" w:rsidR="00FA20CB" w:rsidRDefault="00FA20CB">
      <w:pPr>
        <w:rPr>
          <w:lang w:val="fr-TG"/>
        </w:rPr>
      </w:pPr>
      <w:r w:rsidRPr="00FA20CB">
        <w:rPr>
          <w:lang w:val="fr-TG"/>
        </w:rPr>
        <w:drawing>
          <wp:inline distT="0" distB="0" distL="0" distR="0" wp14:anchorId="23981B44" wp14:editId="0B5B1A7D">
            <wp:extent cx="5760720" cy="10344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034415"/>
                    </a:xfrm>
                    <a:prstGeom prst="rect">
                      <a:avLst/>
                    </a:prstGeom>
                  </pic:spPr>
                </pic:pic>
              </a:graphicData>
            </a:graphic>
          </wp:inline>
        </w:drawing>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4500"/>
        <w:gridCol w:w="4500"/>
      </w:tblGrid>
      <w:tr w:rsidR="00FA20CB" w:rsidRPr="00FA20CB" w14:paraId="2FE1B4F4" w14:textId="77777777" w:rsidTr="00FA20CB">
        <w:trPr>
          <w:tblCellSpacing w:w="15" w:type="dxa"/>
        </w:trPr>
        <w:tc>
          <w:tcPr>
            <w:tcW w:w="4455" w:type="dxa"/>
            <w:vAlign w:val="center"/>
            <w:hideMark/>
          </w:tcPr>
          <w:p w14:paraId="2EC156EA" w14:textId="77777777" w:rsidR="00FA20CB" w:rsidRPr="00FA20CB" w:rsidRDefault="00FA20CB" w:rsidP="00FA20CB">
            <w:pPr>
              <w:rPr>
                <w:rStyle w:val="Lienhypertexte"/>
                <w:rFonts w:ascii="Calibri" w:hAnsi="Calibri" w:cs="Calibri"/>
                <w:sz w:val="28"/>
                <w:szCs w:val="28"/>
              </w:rPr>
            </w:pPr>
            <w:hyperlink r:id="rId20" w:tgtFrame="_blank" w:history="1">
              <w:r w:rsidRPr="00FA20CB">
                <w:rPr>
                  <w:rStyle w:val="Lienhypertexte"/>
                  <w:rFonts w:ascii="Calibri" w:hAnsi="Calibri" w:cs="Calibri"/>
                  <w:sz w:val="28"/>
                  <w:szCs w:val="28"/>
                </w:rPr>
                <w:t>Unapplied Deposits by Office</w:t>
              </w:r>
            </w:hyperlink>
          </w:p>
        </w:tc>
        <w:tc>
          <w:tcPr>
            <w:tcW w:w="4455" w:type="dxa"/>
            <w:shd w:val="clear" w:color="auto" w:fill="FFFFFF"/>
            <w:vAlign w:val="center"/>
            <w:hideMark/>
          </w:tcPr>
          <w:p w14:paraId="4A30094D" w14:textId="77777777" w:rsidR="00FA20CB" w:rsidRPr="00FA20CB" w:rsidRDefault="00FA20CB" w:rsidP="00FA20CB">
            <w:pPr>
              <w:rPr>
                <w:rStyle w:val="Lienhypertexte"/>
                <w:rFonts w:ascii="Calibri" w:hAnsi="Calibri" w:cs="Calibri"/>
                <w:sz w:val="28"/>
                <w:szCs w:val="28"/>
              </w:rPr>
            </w:pPr>
          </w:p>
        </w:tc>
      </w:tr>
    </w:tbl>
    <w:p w14:paraId="332E500F" w14:textId="27559D16" w:rsidR="00FA20CB" w:rsidRDefault="00FA20CB">
      <w:pPr>
        <w:rPr>
          <w:lang w:val="fr-TG"/>
        </w:rPr>
      </w:pPr>
      <w:r w:rsidRPr="00FA20CB">
        <w:rPr>
          <w:lang w:val="fr-TG"/>
        </w:rPr>
        <w:drawing>
          <wp:inline distT="0" distB="0" distL="0" distR="0" wp14:anchorId="329F9204" wp14:editId="514787B4">
            <wp:extent cx="5760720" cy="15443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544320"/>
                    </a:xfrm>
                    <a:prstGeom prst="rect">
                      <a:avLst/>
                    </a:prstGeom>
                  </pic:spPr>
                </pic:pic>
              </a:graphicData>
            </a:graphic>
          </wp:inline>
        </w:drawing>
      </w:r>
    </w:p>
    <w:p w14:paraId="1A782AB6" w14:textId="02E25589" w:rsidR="00FA20CB" w:rsidRDefault="00FA20CB">
      <w:pPr>
        <w:rPr>
          <w:rStyle w:val="Lienhypertexte"/>
          <w:sz w:val="28"/>
          <w:szCs w:val="28"/>
        </w:rPr>
      </w:pPr>
      <w:hyperlink r:id="rId22" w:tgtFrame="_blank" w:history="1">
        <w:r w:rsidRPr="00FA20CB">
          <w:rPr>
            <w:rStyle w:val="Lienhypertexte"/>
            <w:rFonts w:ascii="Calibri" w:hAnsi="Calibri" w:cs="Calibri"/>
            <w:sz w:val="28"/>
            <w:szCs w:val="28"/>
          </w:rPr>
          <w:t>Contract Pending Events</w:t>
        </w:r>
      </w:hyperlink>
    </w:p>
    <w:p w14:paraId="3FF827A2" w14:textId="4A86D634" w:rsidR="00FA20CB" w:rsidRDefault="00FA20CB">
      <w:pPr>
        <w:rPr>
          <w:rStyle w:val="Lienhypertexte"/>
          <w:rFonts w:ascii="Calibri" w:hAnsi="Calibri" w:cs="Calibri"/>
          <w:sz w:val="28"/>
          <w:szCs w:val="28"/>
        </w:rPr>
      </w:pPr>
      <w:r w:rsidRPr="00FA20CB">
        <w:rPr>
          <w:rStyle w:val="Lienhypertexte"/>
          <w:rFonts w:ascii="Calibri" w:hAnsi="Calibri" w:cs="Calibri"/>
          <w:sz w:val="28"/>
          <w:szCs w:val="28"/>
        </w:rPr>
        <w:drawing>
          <wp:inline distT="0" distB="0" distL="0" distR="0" wp14:anchorId="764C4F17" wp14:editId="1A1FA197">
            <wp:extent cx="5760720" cy="10750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075055"/>
                    </a:xfrm>
                    <a:prstGeom prst="rect">
                      <a:avLst/>
                    </a:prstGeom>
                  </pic:spPr>
                </pic:pic>
              </a:graphicData>
            </a:graphic>
          </wp:inline>
        </w:drawing>
      </w:r>
    </w:p>
    <w:p w14:paraId="31D45325" w14:textId="64553762" w:rsidR="00FA20CB" w:rsidRPr="00FA20CB" w:rsidRDefault="00FA20CB">
      <w:pPr>
        <w:rPr>
          <w:rStyle w:val="Lienhypertexte"/>
          <w:sz w:val="28"/>
          <w:szCs w:val="28"/>
        </w:rPr>
      </w:pPr>
      <w:hyperlink r:id="rId24" w:tgtFrame="_blank" w:history="1">
        <w:r w:rsidRPr="00FA20CB">
          <w:rPr>
            <w:rStyle w:val="Lienhypertexte"/>
            <w:rFonts w:ascii="Calibri" w:hAnsi="Calibri" w:cs="Calibri"/>
            <w:sz w:val="28"/>
            <w:szCs w:val="28"/>
          </w:rPr>
          <w:t>Contribution Amount Not Collected</w:t>
        </w:r>
      </w:hyperlink>
    </w:p>
    <w:p w14:paraId="343AA5B6" w14:textId="28D10BAA" w:rsidR="00FA20CB" w:rsidRDefault="00FA20CB">
      <w:pPr>
        <w:rPr>
          <w:rStyle w:val="Lienhypertexte"/>
          <w:rFonts w:ascii="Calibri" w:hAnsi="Calibri" w:cs="Calibri"/>
          <w:sz w:val="28"/>
          <w:szCs w:val="28"/>
        </w:rPr>
      </w:pPr>
      <w:r w:rsidRPr="00FA20CB">
        <w:rPr>
          <w:rStyle w:val="Lienhypertexte"/>
          <w:rFonts w:ascii="Calibri" w:hAnsi="Calibri" w:cs="Calibri"/>
          <w:sz w:val="28"/>
          <w:szCs w:val="28"/>
        </w:rPr>
        <w:drawing>
          <wp:inline distT="0" distB="0" distL="0" distR="0" wp14:anchorId="06945BB5" wp14:editId="7A6FA9C6">
            <wp:extent cx="5760720" cy="9810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981075"/>
                    </a:xfrm>
                    <a:prstGeom prst="rect">
                      <a:avLst/>
                    </a:prstGeom>
                  </pic:spPr>
                </pic:pic>
              </a:graphicData>
            </a:graphic>
          </wp:inline>
        </w:drawing>
      </w:r>
    </w:p>
    <w:p w14:paraId="76B9409C" w14:textId="514DF701" w:rsidR="00FA20CB" w:rsidRPr="00FA20CB" w:rsidRDefault="00FA20CB">
      <w:pPr>
        <w:rPr>
          <w:rStyle w:val="Lienhypertexte"/>
          <w:sz w:val="28"/>
          <w:szCs w:val="28"/>
        </w:rPr>
      </w:pPr>
      <w:hyperlink r:id="rId26" w:tgtFrame="_blank" w:history="1">
        <w:r w:rsidRPr="00FA20CB">
          <w:rPr>
            <w:rStyle w:val="Lienhypertexte"/>
            <w:rFonts w:ascii="Calibri" w:hAnsi="Calibri" w:cs="Calibri"/>
            <w:sz w:val="28"/>
            <w:szCs w:val="28"/>
          </w:rPr>
          <w:t>No Pending AR direct journal</w:t>
        </w:r>
      </w:hyperlink>
      <w:r w:rsidRPr="00FA20CB">
        <w:rPr>
          <w:rStyle w:val="Lienhypertexte"/>
          <w:sz w:val="28"/>
          <w:szCs w:val="28"/>
        </w:rPr>
        <w:t>s</w:t>
      </w:r>
    </w:p>
    <w:p w14:paraId="41DCDE6E" w14:textId="5C1DD181" w:rsidR="00FA20CB" w:rsidRDefault="00FA20CB">
      <w:pPr>
        <w:rPr>
          <w:rStyle w:val="Lienhypertexte"/>
          <w:rFonts w:ascii="Calibri" w:hAnsi="Calibri" w:cs="Calibri"/>
          <w:sz w:val="28"/>
          <w:szCs w:val="28"/>
        </w:rPr>
      </w:pPr>
      <w:r w:rsidRPr="00FA20CB">
        <w:rPr>
          <w:rStyle w:val="Lienhypertexte"/>
          <w:rFonts w:ascii="Calibri" w:hAnsi="Calibri" w:cs="Calibri"/>
          <w:sz w:val="28"/>
          <w:szCs w:val="28"/>
        </w:rPr>
        <w:drawing>
          <wp:inline distT="0" distB="0" distL="0" distR="0" wp14:anchorId="7B03C125" wp14:editId="786F2CFD">
            <wp:extent cx="5760720" cy="174942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49425"/>
                    </a:xfrm>
                    <a:prstGeom prst="rect">
                      <a:avLst/>
                    </a:prstGeom>
                  </pic:spPr>
                </pic:pic>
              </a:graphicData>
            </a:graphic>
          </wp:inline>
        </w:drawing>
      </w:r>
    </w:p>
    <w:p w14:paraId="7EFB3BC5" w14:textId="7DF43422" w:rsidR="00FA20CB" w:rsidRPr="00FA20CB" w:rsidRDefault="00FA20CB">
      <w:pPr>
        <w:rPr>
          <w:rStyle w:val="Lienhypertexte"/>
          <w:sz w:val="28"/>
          <w:szCs w:val="28"/>
        </w:rPr>
      </w:pPr>
      <w:hyperlink r:id="rId28" w:anchor="_blank" w:history="1">
        <w:r w:rsidRPr="00FA20CB">
          <w:rPr>
            <w:rStyle w:val="Lienhypertexte"/>
            <w:rFonts w:ascii="Calibri" w:hAnsi="Calibri" w:cs="Calibri"/>
            <w:sz w:val="28"/>
            <w:szCs w:val="28"/>
          </w:rPr>
          <w:t xml:space="preserve">Assets </w:t>
        </w:r>
      </w:hyperlink>
    </w:p>
    <w:p w14:paraId="1C80F630" w14:textId="32FFCCB0" w:rsidR="00FA20CB" w:rsidRDefault="00FA20CB">
      <w:pPr>
        <w:rPr>
          <w:lang w:val="fr-TG"/>
        </w:rPr>
      </w:pPr>
      <w:r>
        <w:rPr>
          <w:lang w:val="fr-TG"/>
        </w:rPr>
        <w:t>Voir fichier assets</w:t>
      </w:r>
    </w:p>
    <w:p w14:paraId="1A5C56C1" w14:textId="7A89A363" w:rsidR="00FA20CB" w:rsidRPr="00FA20CB" w:rsidRDefault="00FA20CB">
      <w:pPr>
        <w:rPr>
          <w:rStyle w:val="Lienhypertexte"/>
          <w:sz w:val="28"/>
          <w:szCs w:val="28"/>
        </w:rPr>
      </w:pPr>
      <w:hyperlink r:id="rId29" w:tgtFrame="_blank" w:history="1">
        <w:r w:rsidRPr="00FA20CB">
          <w:rPr>
            <w:rStyle w:val="Lienhypertexte"/>
            <w:rFonts w:ascii="Calibri" w:hAnsi="Calibri" w:cs="Calibri"/>
            <w:sz w:val="28"/>
            <w:szCs w:val="28"/>
          </w:rPr>
          <w:t>Petty Cash &amp; Cash Advance</w:t>
        </w:r>
      </w:hyperlink>
    </w:p>
    <w:p w14:paraId="0D4E194F" w14:textId="7806F3B7" w:rsidR="00FA20CB" w:rsidRDefault="00F264BF">
      <w:pPr>
        <w:rPr>
          <w:lang w:val="fr-TG"/>
        </w:rPr>
      </w:pPr>
      <w:r w:rsidRPr="00F264BF">
        <w:rPr>
          <w:lang w:val="fr-TG"/>
        </w:rPr>
        <w:drawing>
          <wp:inline distT="0" distB="0" distL="0" distR="0" wp14:anchorId="422E0918" wp14:editId="4840C65F">
            <wp:extent cx="5760720" cy="10102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010285"/>
                    </a:xfrm>
                    <a:prstGeom prst="rect">
                      <a:avLst/>
                    </a:prstGeom>
                  </pic:spPr>
                </pic:pic>
              </a:graphicData>
            </a:graphic>
          </wp:inline>
        </w:drawing>
      </w:r>
    </w:p>
    <w:p w14:paraId="3DC09F14" w14:textId="58E39314" w:rsidR="00F264BF" w:rsidRPr="00F264BF" w:rsidRDefault="00F264BF">
      <w:pPr>
        <w:rPr>
          <w:rStyle w:val="Lienhypertexte"/>
          <w:sz w:val="28"/>
          <w:szCs w:val="28"/>
        </w:rPr>
      </w:pPr>
      <w:hyperlink r:id="rId31" w:tgtFrame="_blank" w:history="1">
        <w:r w:rsidRPr="00F264BF">
          <w:rPr>
            <w:rStyle w:val="Lienhypertexte"/>
            <w:rFonts w:ascii="Calibri" w:hAnsi="Calibri" w:cs="Calibri"/>
            <w:sz w:val="28"/>
            <w:szCs w:val="28"/>
          </w:rPr>
          <w:t>Staff Receivables</w:t>
        </w:r>
      </w:hyperlink>
    </w:p>
    <w:p w14:paraId="2D8E5263" w14:textId="69E7E363" w:rsidR="00F264BF" w:rsidRDefault="00F264BF">
      <w:pPr>
        <w:rPr>
          <w:lang w:val="fr-TG"/>
        </w:rPr>
      </w:pPr>
      <w:r w:rsidRPr="00F264BF">
        <w:rPr>
          <w:lang w:val="fr-TG"/>
        </w:rPr>
        <w:drawing>
          <wp:inline distT="0" distB="0" distL="0" distR="0" wp14:anchorId="346B5E39" wp14:editId="2D993736">
            <wp:extent cx="5760720" cy="101473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014730"/>
                    </a:xfrm>
                    <a:prstGeom prst="rect">
                      <a:avLst/>
                    </a:prstGeom>
                  </pic:spPr>
                </pic:pic>
              </a:graphicData>
            </a:graphic>
          </wp:inline>
        </w:drawing>
      </w:r>
    </w:p>
    <w:p w14:paraId="000B45D4" w14:textId="70F3521A" w:rsidR="00F264BF" w:rsidRDefault="00F264BF">
      <w:pPr>
        <w:rPr>
          <w:lang w:val="fr-TG"/>
        </w:rPr>
      </w:pPr>
    </w:p>
    <w:p w14:paraId="41A1A515" w14:textId="75AEE3BF" w:rsidR="00F264BF" w:rsidRPr="00F264BF" w:rsidRDefault="00F264BF">
      <w:pPr>
        <w:rPr>
          <w:rStyle w:val="Lienhypertexte"/>
          <w:sz w:val="28"/>
          <w:szCs w:val="28"/>
        </w:rPr>
      </w:pPr>
      <w:hyperlink r:id="rId33" w:tgtFrame="_blank" w:history="1">
        <w:r w:rsidRPr="00F264BF">
          <w:rPr>
            <w:rStyle w:val="Lienhypertexte"/>
            <w:rFonts w:ascii="Calibri" w:hAnsi="Calibri" w:cs="Calibri"/>
            <w:sz w:val="28"/>
            <w:szCs w:val="28"/>
          </w:rPr>
          <w:t>Employee Benefits</w:t>
        </w:r>
      </w:hyperlink>
    </w:p>
    <w:p w14:paraId="51640FB2" w14:textId="35644F76" w:rsidR="00F264BF" w:rsidRDefault="00F264BF">
      <w:pPr>
        <w:rPr>
          <w:lang w:val="fr-TG"/>
        </w:rPr>
      </w:pPr>
      <w:r w:rsidRPr="00F264BF">
        <w:rPr>
          <w:lang w:val="fr-TG"/>
        </w:rPr>
        <w:drawing>
          <wp:inline distT="0" distB="0" distL="0" distR="0" wp14:anchorId="2365C106" wp14:editId="403110F5">
            <wp:extent cx="5760720" cy="10502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050290"/>
                    </a:xfrm>
                    <a:prstGeom prst="rect">
                      <a:avLst/>
                    </a:prstGeom>
                  </pic:spPr>
                </pic:pic>
              </a:graphicData>
            </a:graphic>
          </wp:inline>
        </w:drawing>
      </w:r>
    </w:p>
    <w:p w14:paraId="64492E24" w14:textId="2F82A905" w:rsidR="00F264BF" w:rsidRPr="00F264BF" w:rsidRDefault="00F264BF">
      <w:pPr>
        <w:rPr>
          <w:rStyle w:val="Lienhypertexte"/>
          <w:sz w:val="28"/>
          <w:szCs w:val="28"/>
        </w:rPr>
      </w:pPr>
      <w:hyperlink r:id="rId35" w:tgtFrame="_blank" w:history="1">
        <w:r w:rsidRPr="00F264BF">
          <w:rPr>
            <w:rStyle w:val="Lienhypertexte"/>
            <w:rFonts w:ascii="Calibri" w:hAnsi="Calibri" w:cs="Calibri"/>
            <w:sz w:val="28"/>
            <w:szCs w:val="28"/>
          </w:rPr>
          <w:t>Pending Liabilities</w:t>
        </w:r>
      </w:hyperlink>
    </w:p>
    <w:p w14:paraId="429AE04F" w14:textId="40B1E481" w:rsidR="00F264BF" w:rsidRDefault="00F264BF">
      <w:pPr>
        <w:rPr>
          <w:lang w:val="fr-TG"/>
        </w:rPr>
      </w:pPr>
      <w:r w:rsidRPr="00F264BF">
        <w:rPr>
          <w:lang w:val="fr-TG"/>
        </w:rPr>
        <w:drawing>
          <wp:inline distT="0" distB="0" distL="0" distR="0" wp14:anchorId="577DF02A" wp14:editId="22147BBA">
            <wp:extent cx="5760720" cy="10725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072515"/>
                    </a:xfrm>
                    <a:prstGeom prst="rect">
                      <a:avLst/>
                    </a:prstGeom>
                  </pic:spPr>
                </pic:pic>
              </a:graphicData>
            </a:graphic>
          </wp:inline>
        </w:drawing>
      </w:r>
    </w:p>
    <w:p w14:paraId="0397F9F1" w14:textId="6D83DA12" w:rsidR="00F264BF" w:rsidRDefault="00F264BF">
      <w:pPr>
        <w:rPr>
          <w:rStyle w:val="Lienhypertexte"/>
          <w:rFonts w:ascii="Calibri" w:hAnsi="Calibri" w:cs="Calibri"/>
          <w:sz w:val="28"/>
          <w:szCs w:val="28"/>
        </w:rPr>
      </w:pPr>
      <w:r w:rsidRPr="00F264BF">
        <w:rPr>
          <w:rStyle w:val="Lienhypertexte"/>
          <w:rFonts w:ascii="Calibri" w:hAnsi="Calibri" w:cs="Calibri"/>
          <w:sz w:val="28"/>
          <w:szCs w:val="28"/>
        </w:rPr>
        <w:t>The CDR for the previous quarter shows Zero future expenses (commitments).</w:t>
      </w:r>
    </w:p>
    <w:p w14:paraId="7651DF32" w14:textId="42BA6657" w:rsidR="00F264BF" w:rsidRDefault="00F264BF">
      <w:pPr>
        <w:rPr>
          <w:lang w:val="fr-TG"/>
        </w:rPr>
      </w:pPr>
      <w:r>
        <w:rPr>
          <w:lang w:val="fr-TG"/>
        </w:rPr>
        <w:t>CDR uploader sur Atlas</w:t>
      </w:r>
    </w:p>
    <w:p w14:paraId="03F4E084" w14:textId="66F41831" w:rsidR="00F264BF" w:rsidRPr="00F264BF" w:rsidRDefault="00F264BF">
      <w:pPr>
        <w:rPr>
          <w:rStyle w:val="Lienhypertexte"/>
          <w:rFonts w:ascii="Calibri" w:hAnsi="Calibri" w:cs="Calibri"/>
          <w:sz w:val="28"/>
          <w:szCs w:val="28"/>
        </w:rPr>
      </w:pPr>
      <w:r w:rsidRPr="00F264BF">
        <w:rPr>
          <w:rStyle w:val="Lienhypertexte"/>
          <w:rFonts w:ascii="Calibri" w:hAnsi="Calibri" w:cs="Calibri"/>
          <w:sz w:val="28"/>
          <w:szCs w:val="28"/>
        </w:rPr>
        <w:t>Final LPAC / Steering committee minutes are available.</w:t>
      </w:r>
    </w:p>
    <w:p w14:paraId="3D50F900" w14:textId="5173D6AA" w:rsidR="00F264BF" w:rsidRDefault="00F264BF">
      <w:pPr>
        <w:rPr>
          <w:rStyle w:val="pseditboxdisponly"/>
          <w:lang w:val="fr-TG"/>
        </w:rPr>
      </w:pPr>
      <w:r>
        <w:rPr>
          <w:rStyle w:val="pseditboxdisponly"/>
          <w:lang w:val="fr-TG"/>
        </w:rPr>
        <w:t>Rapport final du comité de pilotage disponible</w:t>
      </w:r>
    </w:p>
    <w:p w14:paraId="63FF25C1" w14:textId="7726E5C0" w:rsidR="00F264BF" w:rsidRPr="00F264BF" w:rsidRDefault="00F264BF">
      <w:pPr>
        <w:rPr>
          <w:rStyle w:val="Lienhypertexte"/>
          <w:rFonts w:ascii="Calibri" w:hAnsi="Calibri" w:cs="Calibri"/>
          <w:sz w:val="28"/>
          <w:szCs w:val="28"/>
        </w:rPr>
      </w:pPr>
      <w:r w:rsidRPr="00F264BF">
        <w:rPr>
          <w:rStyle w:val="Lienhypertexte"/>
          <w:rFonts w:ascii="Calibri" w:hAnsi="Calibri" w:cs="Calibri"/>
          <w:sz w:val="28"/>
          <w:szCs w:val="28"/>
        </w:rPr>
        <w:t>All audit observations are closed with supporting documentation.</w:t>
      </w:r>
    </w:p>
    <w:p w14:paraId="2A48FF7F" w14:textId="49FE3407" w:rsidR="00F264BF" w:rsidRDefault="00F264BF">
      <w:pPr>
        <w:rPr>
          <w:rStyle w:val="pseditboxdisponly"/>
          <w:lang w:val="fr-TG"/>
        </w:rPr>
      </w:pPr>
      <w:r>
        <w:rPr>
          <w:rStyle w:val="pseditboxdisponly"/>
          <w:lang w:val="fr-TG"/>
        </w:rPr>
        <w:t>Non applicable</w:t>
      </w:r>
    </w:p>
    <w:p w14:paraId="381EDBEB" w14:textId="091525F7" w:rsidR="00F264BF" w:rsidRPr="00F264BF" w:rsidRDefault="00F264BF">
      <w:pPr>
        <w:rPr>
          <w:rStyle w:val="Lienhypertexte"/>
          <w:rFonts w:ascii="Calibri" w:hAnsi="Calibri" w:cs="Calibri"/>
          <w:sz w:val="28"/>
          <w:szCs w:val="28"/>
        </w:rPr>
      </w:pPr>
      <w:r w:rsidRPr="00F264BF">
        <w:rPr>
          <w:rStyle w:val="Lienhypertexte"/>
          <w:rFonts w:ascii="Calibri" w:hAnsi="Calibri" w:cs="Calibri"/>
          <w:sz w:val="28"/>
          <w:szCs w:val="28"/>
        </w:rPr>
        <w:t>The final CDR is signed by UNDP and the Implementing Partner. Final report submitted by responsible parties.</w:t>
      </w:r>
    </w:p>
    <w:p w14:paraId="29121B9B" w14:textId="77777777" w:rsidR="00F264BF" w:rsidRDefault="00F264BF" w:rsidP="00F264BF">
      <w:pPr>
        <w:rPr>
          <w:rStyle w:val="pseditboxdisponly"/>
          <w:lang w:val="fr-TG"/>
        </w:rPr>
      </w:pPr>
      <w:r>
        <w:rPr>
          <w:rStyle w:val="pseditboxdisponly"/>
          <w:lang w:val="fr-TG"/>
        </w:rPr>
        <w:t>Non applicable</w:t>
      </w:r>
    </w:p>
    <w:p w14:paraId="0B5E21EA" w14:textId="3D8E2196" w:rsidR="00F264BF" w:rsidRPr="00F264BF" w:rsidRDefault="00F264BF">
      <w:pPr>
        <w:rPr>
          <w:rStyle w:val="Lienhypertexte"/>
          <w:rFonts w:ascii="Calibri" w:hAnsi="Calibri" w:cs="Calibri"/>
          <w:sz w:val="24"/>
          <w:szCs w:val="24"/>
        </w:rPr>
      </w:pPr>
      <w:r w:rsidRPr="00F264BF">
        <w:rPr>
          <w:rStyle w:val="Lienhypertexte"/>
          <w:rFonts w:ascii="Calibri" w:hAnsi="Calibri" w:cs="Calibri"/>
          <w:sz w:val="24"/>
          <w:szCs w:val="24"/>
        </w:rPr>
        <w:t>If cost sharing project, the unexpended balance has been agreed to the general ledger. (The Balances excludes Open Purchase Orders reflected in the Output Financials) AND (Excludes Outstanding Contribution Receivable to be collected from donor) if any.</w:t>
      </w:r>
    </w:p>
    <w:p w14:paraId="1598AFDC" w14:textId="77777777" w:rsidR="00F264BF" w:rsidRDefault="00F264BF" w:rsidP="00F264BF">
      <w:pPr>
        <w:rPr>
          <w:rStyle w:val="pseditboxdisponly"/>
          <w:lang w:val="fr-TG"/>
        </w:rPr>
      </w:pPr>
      <w:r>
        <w:rPr>
          <w:rStyle w:val="pseditboxdisponly"/>
          <w:lang w:val="fr-TG"/>
        </w:rPr>
        <w:t>Non applicable</w:t>
      </w:r>
    </w:p>
    <w:p w14:paraId="10AB4592" w14:textId="627050E8" w:rsidR="00F264BF" w:rsidRDefault="00F264BF">
      <w:pPr>
        <w:rPr>
          <w:rStyle w:val="Lienhypertexte"/>
          <w:rFonts w:ascii="Calibri" w:hAnsi="Calibri" w:cs="Calibri"/>
          <w:sz w:val="24"/>
          <w:szCs w:val="24"/>
        </w:rPr>
      </w:pPr>
      <w:r w:rsidRPr="00F264BF">
        <w:rPr>
          <w:rStyle w:val="Lienhypertexte"/>
          <w:rFonts w:ascii="Calibri" w:hAnsi="Calibri" w:cs="Calibri"/>
          <w:sz w:val="24"/>
          <w:szCs w:val="24"/>
        </w:rPr>
        <w:t>Consultations with Donors on the disposition of unexpended cost-sharing balances, where required by contribution agreement, have taken place and are documented in writing.</w:t>
      </w:r>
    </w:p>
    <w:p w14:paraId="09DCC2CE" w14:textId="38575B48" w:rsidR="00F264BF" w:rsidRDefault="00F264BF">
      <w:pPr>
        <w:rPr>
          <w:rStyle w:val="pseditboxdisponly"/>
        </w:rPr>
      </w:pPr>
      <w:r>
        <w:rPr>
          <w:rStyle w:val="pseditboxdisponly"/>
          <w:lang w:val="fr-TG"/>
        </w:rPr>
        <w:t>Les consultations ont eu lieu et l</w:t>
      </w:r>
      <w:r w:rsidRPr="00F264BF">
        <w:rPr>
          <w:rStyle w:val="pseditboxdisponly"/>
        </w:rPr>
        <w:t>e japon a été informé que le reliquat sera reversé</w:t>
      </w:r>
    </w:p>
    <w:p w14:paraId="44F76231" w14:textId="0A559A46" w:rsidR="00F264BF" w:rsidRPr="00F264BF" w:rsidRDefault="00F264BF">
      <w:pPr>
        <w:rPr>
          <w:rStyle w:val="Lienhypertexte"/>
          <w:rFonts w:ascii="Calibri" w:hAnsi="Calibri" w:cs="Calibri"/>
          <w:sz w:val="24"/>
          <w:szCs w:val="24"/>
        </w:rPr>
      </w:pPr>
      <w:r w:rsidRPr="00F264BF">
        <w:rPr>
          <w:rStyle w:val="Lienhypertexte"/>
          <w:rFonts w:ascii="Calibri" w:hAnsi="Calibri" w:cs="Calibri"/>
          <w:sz w:val="24"/>
          <w:szCs w:val="24"/>
        </w:rPr>
        <w:t>All refunds to donors have been transferred to Account 21030 (Pending Refund to Donors) and the project Balance is Zero. (Only in Base Currency)</w:t>
      </w:r>
    </w:p>
    <w:p w14:paraId="110C1CFD" w14:textId="78BEA0E8" w:rsidR="00F264BF" w:rsidRPr="00F264BF" w:rsidRDefault="00F264BF">
      <w:pPr>
        <w:rPr>
          <w:rStyle w:val="pseditboxdisponly"/>
          <w:lang w:val="fr-TG"/>
        </w:rPr>
      </w:pPr>
      <w:r>
        <w:rPr>
          <w:rStyle w:val="pseditboxdisponly"/>
          <w:lang w:val="fr-TG"/>
        </w:rPr>
        <w:t>Processus en cours</w:t>
      </w:r>
    </w:p>
    <w:p w14:paraId="2D12473A" w14:textId="2A55DA15" w:rsidR="00F264BF" w:rsidRPr="00F264BF" w:rsidRDefault="00F264BF">
      <w:pPr>
        <w:rPr>
          <w:rStyle w:val="Lienhypertexte"/>
          <w:rFonts w:ascii="Calibri" w:hAnsi="Calibri" w:cs="Calibri"/>
          <w:sz w:val="24"/>
          <w:szCs w:val="24"/>
        </w:rPr>
      </w:pPr>
      <w:r w:rsidRPr="00F264BF">
        <w:rPr>
          <w:rStyle w:val="Lienhypertexte"/>
          <w:rFonts w:ascii="Calibri" w:hAnsi="Calibri" w:cs="Calibri"/>
          <w:sz w:val="24"/>
          <w:szCs w:val="24"/>
        </w:rPr>
        <w:t>Notified Treasury Contributions Unit if the donor agreement requires interest to be refunded to the donor if specified in the agreement.</w:t>
      </w:r>
    </w:p>
    <w:p w14:paraId="1000F55F" w14:textId="6F5A2B1E" w:rsidR="00F264BF" w:rsidRDefault="00F264BF" w:rsidP="00F264BF">
      <w:pPr>
        <w:rPr>
          <w:rStyle w:val="pseditboxdisponly"/>
          <w:lang w:val="fr-TG"/>
        </w:rPr>
      </w:pPr>
      <w:r>
        <w:rPr>
          <w:rStyle w:val="pseditboxdisponly"/>
          <w:lang w:val="fr-TG"/>
        </w:rPr>
        <w:t>Non applicable</w:t>
      </w:r>
    </w:p>
    <w:p w14:paraId="713501A0" w14:textId="75806A92" w:rsidR="00F264BF" w:rsidRPr="00F264BF" w:rsidRDefault="00F264BF" w:rsidP="00F264BF">
      <w:pPr>
        <w:rPr>
          <w:rStyle w:val="Lienhypertexte"/>
          <w:rFonts w:ascii="Calibri" w:hAnsi="Calibri" w:cs="Calibri"/>
          <w:sz w:val="24"/>
          <w:szCs w:val="24"/>
        </w:rPr>
      </w:pPr>
      <w:r w:rsidRPr="00F264BF">
        <w:rPr>
          <w:rStyle w:val="Lienhypertexte"/>
          <w:rFonts w:ascii="Calibri" w:hAnsi="Calibri" w:cs="Calibri"/>
          <w:sz w:val="24"/>
          <w:szCs w:val="24"/>
        </w:rPr>
        <w:lastRenderedPageBreak/>
        <w:t>Notified the GSSC to close any associated contract in the contracts module.</w:t>
      </w:r>
    </w:p>
    <w:p w14:paraId="5F757D1F" w14:textId="72545D5A" w:rsidR="00F264BF" w:rsidRDefault="00F264BF" w:rsidP="00F264BF">
      <w:pPr>
        <w:rPr>
          <w:rStyle w:val="pseditboxdisponly"/>
          <w:lang w:val="fr-TG"/>
        </w:rPr>
      </w:pPr>
      <w:r>
        <w:rPr>
          <w:rStyle w:val="pseditboxdisponly"/>
          <w:lang w:val="fr-TG"/>
        </w:rPr>
        <w:t>Non applicable</w:t>
      </w:r>
    </w:p>
    <w:p w14:paraId="298E4C1E" w14:textId="64878E56" w:rsidR="00F264BF" w:rsidRPr="00F264BF" w:rsidRDefault="00F264BF" w:rsidP="00F264BF">
      <w:pPr>
        <w:rPr>
          <w:rStyle w:val="Lienhypertexte"/>
          <w:rFonts w:ascii="Calibri" w:hAnsi="Calibri" w:cs="Calibri"/>
          <w:sz w:val="24"/>
          <w:szCs w:val="24"/>
        </w:rPr>
      </w:pPr>
      <w:r w:rsidRPr="00F264BF">
        <w:rPr>
          <w:rStyle w:val="Lienhypertexte"/>
          <w:rFonts w:ascii="Calibri" w:hAnsi="Calibri" w:cs="Calibri"/>
          <w:sz w:val="24"/>
          <w:szCs w:val="24"/>
        </w:rPr>
        <w:t>All donor reports, as established in the Cost Sharing agreement, were submitted and acknowledged receipt by the donor representative.</w:t>
      </w:r>
    </w:p>
    <w:p w14:paraId="5A856364" w14:textId="7D82CCF9" w:rsidR="00F264BF" w:rsidRDefault="00F264BF" w:rsidP="00F264BF">
      <w:pPr>
        <w:rPr>
          <w:rStyle w:val="pseditboxdisponly"/>
          <w:lang w:val="fr-TG"/>
        </w:rPr>
      </w:pPr>
      <w:r>
        <w:rPr>
          <w:rStyle w:val="pseditboxdisponly"/>
          <w:lang w:val="fr-TG"/>
        </w:rPr>
        <w:t>Tous les rapports ont été soumis avec accusé de réception</w:t>
      </w:r>
    </w:p>
    <w:p w14:paraId="1DFE60D3" w14:textId="5CD1B733" w:rsidR="00F264BF" w:rsidRPr="00F264BF" w:rsidRDefault="00F264BF" w:rsidP="00F264BF">
      <w:pPr>
        <w:rPr>
          <w:rStyle w:val="Lienhypertexte"/>
          <w:rFonts w:ascii="Calibri" w:hAnsi="Calibri" w:cs="Calibri"/>
          <w:sz w:val="24"/>
          <w:szCs w:val="24"/>
        </w:rPr>
      </w:pPr>
      <w:r w:rsidRPr="00F264BF">
        <w:rPr>
          <w:rStyle w:val="Lienhypertexte"/>
          <w:rFonts w:ascii="Calibri" w:hAnsi="Calibri" w:cs="Calibri"/>
          <w:sz w:val="24"/>
          <w:szCs w:val="24"/>
        </w:rPr>
        <w:t>Ensure project accounts are closed.</w:t>
      </w:r>
    </w:p>
    <w:p w14:paraId="746E067A" w14:textId="527335EE" w:rsidR="00F264BF" w:rsidRPr="00F264BF" w:rsidRDefault="00E25BE3" w:rsidP="00F264BF">
      <w:pPr>
        <w:rPr>
          <w:rStyle w:val="pseditboxdisponly"/>
          <w:lang w:val="fr-TG"/>
        </w:rPr>
      </w:pPr>
      <w:r>
        <w:rPr>
          <w:rStyle w:val="pseditboxdisponly"/>
          <w:lang w:val="fr-TG"/>
        </w:rPr>
        <w:t>Une action sera prise si nécessaire dans le cadre de ce projet</w:t>
      </w:r>
    </w:p>
    <w:p w14:paraId="3A9C0F3A" w14:textId="77777777" w:rsidR="00F264BF" w:rsidRPr="00F264BF" w:rsidRDefault="00F264BF">
      <w:pPr>
        <w:rPr>
          <w:rStyle w:val="Lienhypertexte"/>
          <w:rFonts w:ascii="Calibri" w:hAnsi="Calibri" w:cs="Calibri"/>
          <w:sz w:val="24"/>
          <w:szCs w:val="24"/>
          <w:lang w:val="fr-TG"/>
        </w:rPr>
      </w:pPr>
    </w:p>
    <w:sectPr w:rsidR="00F264BF" w:rsidRPr="00F264BF" w:rsidSect="00FA20CB">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0AE"/>
    <w:rsid w:val="0017004B"/>
    <w:rsid w:val="002F61C6"/>
    <w:rsid w:val="008F4562"/>
    <w:rsid w:val="00BA06A6"/>
    <w:rsid w:val="00E25BE3"/>
    <w:rsid w:val="00F264BF"/>
    <w:rsid w:val="00F750AE"/>
    <w:rsid w:val="00F91E77"/>
    <w:rsid w:val="00FA20CB"/>
  </w:rsids>
  <m:mathPr>
    <m:mathFont m:val="Cambria Math"/>
    <m:brkBin m:val="before"/>
    <m:brkBinSub m:val="--"/>
    <m:smallFrac m:val="0"/>
    <m:dispDef/>
    <m:lMargin m:val="0"/>
    <m:rMargin m:val="0"/>
    <m:defJc m:val="centerGroup"/>
    <m:wrapIndent m:val="1440"/>
    <m:intLim m:val="subSup"/>
    <m:naryLim m:val="undOvr"/>
  </m:mathPr>
  <w:themeFontLang w:val="fr-T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DA3D"/>
  <w15:chartTrackingRefBased/>
  <w15:docId w15:val="{D23FCF5B-0CA7-4704-B43B-4DAA8AD4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T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4BF"/>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750AE"/>
    <w:rPr>
      <w:color w:val="0000FF"/>
      <w:u w:val="single"/>
    </w:rPr>
  </w:style>
  <w:style w:type="character" w:customStyle="1" w:styleId="pseditboxdisponly">
    <w:name w:val="pseditbox_disponly"/>
    <w:basedOn w:val="Policepardfaut"/>
    <w:rsid w:val="008F4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8593">
      <w:bodyDiv w:val="1"/>
      <w:marLeft w:val="0"/>
      <w:marRight w:val="0"/>
      <w:marTop w:val="0"/>
      <w:marBottom w:val="0"/>
      <w:divBdr>
        <w:top w:val="none" w:sz="0" w:space="0" w:color="auto"/>
        <w:left w:val="none" w:sz="0" w:space="0" w:color="auto"/>
        <w:bottom w:val="none" w:sz="0" w:space="0" w:color="auto"/>
        <w:right w:val="none" w:sz="0" w:space="0" w:color="auto"/>
      </w:divBdr>
      <w:divsChild>
        <w:div w:id="687412296">
          <w:marLeft w:val="0"/>
          <w:marRight w:val="0"/>
          <w:marTop w:val="0"/>
          <w:marBottom w:val="0"/>
          <w:divBdr>
            <w:top w:val="none" w:sz="0" w:space="0" w:color="auto"/>
            <w:left w:val="none" w:sz="0" w:space="0" w:color="auto"/>
            <w:bottom w:val="none" w:sz="0" w:space="0" w:color="auto"/>
            <w:right w:val="none" w:sz="0" w:space="0" w:color="auto"/>
          </w:divBdr>
          <w:divsChild>
            <w:div w:id="17240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1770">
      <w:bodyDiv w:val="1"/>
      <w:marLeft w:val="0"/>
      <w:marRight w:val="0"/>
      <w:marTop w:val="0"/>
      <w:marBottom w:val="0"/>
      <w:divBdr>
        <w:top w:val="none" w:sz="0" w:space="0" w:color="auto"/>
        <w:left w:val="none" w:sz="0" w:space="0" w:color="auto"/>
        <w:bottom w:val="none" w:sz="0" w:space="0" w:color="auto"/>
        <w:right w:val="none" w:sz="0" w:space="0" w:color="auto"/>
      </w:divBdr>
      <w:divsChild>
        <w:div w:id="381562869">
          <w:marLeft w:val="0"/>
          <w:marRight w:val="0"/>
          <w:marTop w:val="0"/>
          <w:marBottom w:val="0"/>
          <w:divBdr>
            <w:top w:val="none" w:sz="0" w:space="0" w:color="auto"/>
            <w:left w:val="none" w:sz="0" w:space="0" w:color="auto"/>
            <w:bottom w:val="none" w:sz="0" w:space="0" w:color="auto"/>
            <w:right w:val="none" w:sz="0" w:space="0" w:color="auto"/>
          </w:divBdr>
        </w:div>
        <w:div w:id="1046414794">
          <w:marLeft w:val="0"/>
          <w:marRight w:val="0"/>
          <w:marTop w:val="0"/>
          <w:marBottom w:val="0"/>
          <w:divBdr>
            <w:top w:val="none" w:sz="0" w:space="0" w:color="auto"/>
            <w:left w:val="none" w:sz="0" w:space="0" w:color="auto"/>
            <w:bottom w:val="none" w:sz="0" w:space="0" w:color="auto"/>
            <w:right w:val="none" w:sz="0" w:space="0" w:color="auto"/>
          </w:divBdr>
          <w:divsChild>
            <w:div w:id="12688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0038">
      <w:bodyDiv w:val="1"/>
      <w:marLeft w:val="0"/>
      <w:marRight w:val="0"/>
      <w:marTop w:val="0"/>
      <w:marBottom w:val="0"/>
      <w:divBdr>
        <w:top w:val="none" w:sz="0" w:space="0" w:color="auto"/>
        <w:left w:val="none" w:sz="0" w:space="0" w:color="auto"/>
        <w:bottom w:val="none" w:sz="0" w:space="0" w:color="auto"/>
        <w:right w:val="none" w:sz="0" w:space="0" w:color="auto"/>
      </w:divBdr>
    </w:div>
    <w:div w:id="1600677716">
      <w:bodyDiv w:val="1"/>
      <w:marLeft w:val="0"/>
      <w:marRight w:val="0"/>
      <w:marTop w:val="0"/>
      <w:marBottom w:val="0"/>
      <w:divBdr>
        <w:top w:val="none" w:sz="0" w:space="0" w:color="auto"/>
        <w:left w:val="none" w:sz="0" w:space="0" w:color="auto"/>
        <w:bottom w:val="none" w:sz="0" w:space="0" w:color="auto"/>
        <w:right w:val="none" w:sz="0" w:space="0" w:color="auto"/>
      </w:divBdr>
      <w:divsChild>
        <w:div w:id="785807467">
          <w:marLeft w:val="0"/>
          <w:marRight w:val="0"/>
          <w:marTop w:val="0"/>
          <w:marBottom w:val="0"/>
          <w:divBdr>
            <w:top w:val="none" w:sz="0" w:space="0" w:color="auto"/>
            <w:left w:val="none" w:sz="0" w:space="0" w:color="auto"/>
            <w:bottom w:val="none" w:sz="0" w:space="0" w:color="auto"/>
            <w:right w:val="none" w:sz="0" w:space="0" w:color="auto"/>
          </w:divBdr>
          <w:divsChild>
            <w:div w:id="567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0814">
      <w:bodyDiv w:val="1"/>
      <w:marLeft w:val="0"/>
      <w:marRight w:val="0"/>
      <w:marTop w:val="0"/>
      <w:marBottom w:val="0"/>
      <w:divBdr>
        <w:top w:val="none" w:sz="0" w:space="0" w:color="auto"/>
        <w:left w:val="none" w:sz="0" w:space="0" w:color="auto"/>
        <w:bottom w:val="none" w:sz="0" w:space="0" w:color="auto"/>
        <w:right w:val="none" w:sz="0" w:space="0" w:color="auto"/>
      </w:divBdr>
      <w:divsChild>
        <w:div w:id="1173716835">
          <w:marLeft w:val="0"/>
          <w:marRight w:val="0"/>
          <w:marTop w:val="0"/>
          <w:marBottom w:val="0"/>
          <w:divBdr>
            <w:top w:val="none" w:sz="0" w:space="0" w:color="auto"/>
            <w:left w:val="none" w:sz="0" w:space="0" w:color="auto"/>
            <w:bottom w:val="none" w:sz="0" w:space="0" w:color="auto"/>
            <w:right w:val="none" w:sz="0" w:space="0" w:color="auto"/>
          </w:divBdr>
        </w:div>
        <w:div w:id="85077104">
          <w:marLeft w:val="0"/>
          <w:marRight w:val="0"/>
          <w:marTop w:val="0"/>
          <w:marBottom w:val="0"/>
          <w:divBdr>
            <w:top w:val="none" w:sz="0" w:space="0" w:color="auto"/>
            <w:left w:val="none" w:sz="0" w:space="0" w:color="auto"/>
            <w:bottom w:val="none" w:sz="0" w:space="0" w:color="auto"/>
            <w:right w:val="none" w:sz="0" w:space="0" w:color="auto"/>
          </w:divBdr>
          <w:divsChild>
            <w:div w:id="637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finance.partneragencies.org/psc/UNDPP1FS/EMPLOYEE/ERP/q/?ICAction=ICQryNameURL=PUBLIC.UN_PS_CLOSE_PENDING_GLJE" TargetMode="External"/><Relationship Id="rId26" Type="http://schemas.openxmlformats.org/officeDocument/2006/relationships/hyperlink" Target="https://finance.partneragencies.org/psc/UNDPP1FS/EMPLOYEE/ERP/q/?ICAction=ICQryNameURL=PUBLIC.UN_PS_CLOSE_ARDJ_ERR_INCOMPL" TargetMode="External"/><Relationship Id="rId39" Type="http://schemas.openxmlformats.org/officeDocument/2006/relationships/customXml" Target="../customXml/item1.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customXml" Target="../customXml/item4.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finance.partneragencies.org/psc/UNDPP1FS/EMPLOYEE/ERP/q/?ICAction=ICQryNameURL=PUBLIC.UN_PS_CLOSE_GMS_ACTUAL" TargetMode="External"/><Relationship Id="rId20" Type="http://schemas.openxmlformats.org/officeDocument/2006/relationships/hyperlink" Target="https://finance.partneragencies.org/psc/UNDPP1FS/EMPLOYEE/ERP/q/?ICAction=ICQryNameURL=PUBLIC.UN_PS_CLOSE_UNAPPLIED_DEPOSITS" TargetMode="External"/><Relationship Id="rId29" Type="http://schemas.openxmlformats.org/officeDocument/2006/relationships/hyperlink" Target="https://finance.partneragencies.org/psc/UNDPP1FS/EMPLOYEE/ERP/q/?ICAction=ICQryNameURL=PUBLIC.UN_PS_CLOSE_PETTYCASH_ADVCASH" TargetMode="External"/><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finance.partneragencies.org/psc/UNDPP1FS/EMPLOYEE/ERP/q/?ICAction=ICQryNameURL=PUBLIC.UN_PS_CLOSE_OUTSTN_ADV_OTHR" TargetMode="External"/><Relationship Id="rId11" Type="http://schemas.openxmlformats.org/officeDocument/2006/relationships/image" Target="media/image4.png"/><Relationship Id="rId24" Type="http://schemas.openxmlformats.org/officeDocument/2006/relationships/hyperlink" Target="https://finance.partneragencies.org/psc/UNDPP1FS/EMPLOYEE/ERP/q/?ICAction=ICQryNameURL=PUBLIC.UN_PS_CLOSE_UNCOL_CONTRIB" TargetMode="External"/><Relationship Id="rId32" Type="http://schemas.openxmlformats.org/officeDocument/2006/relationships/image" Target="media/image14.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finance.partneragencies.org/psp/UNDPP1FS_4/EMPLOYEE/ERP/c/UN_REPORTS.UN_RUN_AM600.GBL" TargetMode="External"/><Relationship Id="rId36" Type="http://schemas.openxmlformats.org/officeDocument/2006/relationships/image" Target="media/image16.png"/><Relationship Id="rId10" Type="http://schemas.openxmlformats.org/officeDocument/2006/relationships/hyperlink" Target="https://finance.partneragencies.org/psc/UNDPP1FS/EMPLOYEE/ERP/q/?ICAction=ICQryNameURL=PUBLIC.UN_PS_CLOSE_RECEIPT_ACCRUAL" TargetMode="External"/><Relationship Id="rId19" Type="http://schemas.openxmlformats.org/officeDocument/2006/relationships/image" Target="media/image8.png"/><Relationship Id="rId31" Type="http://schemas.openxmlformats.org/officeDocument/2006/relationships/hyperlink" Target="https://finance.partneragencies.org/psc/UNDPP1FS/EMPLOYEE/ERP/q/?ICAction=ICQryNameURL=PUBLIC.UN_PS_CLOSE_STAFF_RECEIVABLES" TargetMode="External"/><Relationship Id="rId4" Type="http://schemas.openxmlformats.org/officeDocument/2006/relationships/hyperlink" Target="https://finance.partneragencies.org/psc/UNDPP1FS/EMPLOYEE/ERP/q/?ICAction=ICQryNameURL=PUBLIC.UN_PS_CLOSE_OUTSTANDING_ADV" TargetMode="External"/><Relationship Id="rId9" Type="http://schemas.openxmlformats.org/officeDocument/2006/relationships/image" Target="media/image3.png"/><Relationship Id="rId14" Type="http://schemas.openxmlformats.org/officeDocument/2006/relationships/hyperlink" Target="https://finance.partneragencies.org/psc/UNDPP1FS/EMPLOYEE/ERP/q/?ICAction=ICQryNameURL=PUBLIC.UN_PS_CLOSE_PENDING_VCHR_BY_PR" TargetMode="External"/><Relationship Id="rId22" Type="http://schemas.openxmlformats.org/officeDocument/2006/relationships/hyperlink" Target="https://finance.partneragencies.org/psc/UNDPP1FS/EMPLOYEE/ERP/q/?ICAction=ICQryNameURL=PUBLIC.UN_PS_CLOSE_PENDING_EVENT"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finance.partneragencies.org/psc/UNDPP1FS/EMPLOYEE/ERP/q/?ICAction=ICQryNameURL=PUBLIC.UN_PS_CLOSE_PENDING_LIAB" TargetMode="External"/><Relationship Id="rId43" Type="http://schemas.openxmlformats.org/officeDocument/2006/relationships/customXml" Target="../customXml/item5.xml"/><Relationship Id="rId8" Type="http://schemas.openxmlformats.org/officeDocument/2006/relationships/hyperlink" Target="https://finance.partneragencies.org/psc/UNDPP1FS/EMPLOYEE/ERP/q/?ICAction=ICQryNameURL=PUBLIC.UN_PS_CLOSE_OPEN_PO" TargetMode="External"/><Relationship Id="rId3" Type="http://schemas.openxmlformats.org/officeDocument/2006/relationships/webSettings" Target="webSettings.xml"/><Relationship Id="rId12" Type="http://schemas.openxmlformats.org/officeDocument/2006/relationships/hyperlink" Target="https://finance.partneragencies.org/psc/UNDPP1FS/EMPLOYEE/ERP/q/?ICAction=ICQryNameURL=PUBLIC.UN_PS_CLOSE_OUTSTNDG_PREPAID_V"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finance.partneragencies.org/psc/UNDPP1FS/EMPLOYEE/ERP/q/?ICAction=ICQryNameURL=PUBLIC.UN_PS_CLOSE_STAFF_BEN_LIAB" TargetMode="Externa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2022-12-08T11:00:00+00:00</UNDPPublishedDate>
    <UNDPCountryTaxHTField0 xmlns="1ed4137b-41b2-488b-8250-6d369ec27664">
      <Terms xmlns="http://schemas.microsoft.com/office/infopath/2007/PartnerControls"/>
    </UNDPCountryTaxHTField0>
    <UndpOUCode xmlns="1ed4137b-41b2-488b-8250-6d369ec27664">TGO</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2022-12-08T05:00:00+00:00</Document_x0020_Coverage_x0020_Period_x0020_End_x0020_Date>
    <Project_x0020_Number xmlns="f1161f5b-24a3-4c2d-bc81-44cb9325e8ee" xsi:nil="true"/>
    <Project_x0020_Manager xmlns="f1161f5b-24a3-4c2d-bc81-44cb9325e8ee" xsi:nil="true"/>
    <TaxCatchAll xmlns="1ed4137b-41b2-488b-8250-6d369ec27664">
      <Value>1658</Value>
      <Value>233</Value>
      <Value>1107</Value>
      <Value>763</Value>
    </TaxCatchAll>
    <c4e2ab2cc9354bbf9064eeb465a566ea xmlns="1ed4137b-41b2-488b-8250-6d369ec27664">
      <Terms xmlns="http://schemas.microsoft.com/office/infopath/2007/PartnerControls"/>
    </c4e2ab2cc9354bbf9064eeb465a566ea>
    <UndpProjectNo xmlns="1ed4137b-41b2-488b-8250-6d369ec27664">00115494</UndpProjectNo>
    <UndpDocStatus xmlns="1ed4137b-41b2-488b-8250-6d369ec27664">Final</UndpDocStatus>
    <Outcome1 xmlns="f1161f5b-24a3-4c2d-bc81-44cb9325e8ee">00125853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TGO</TermName>
          <TermId xmlns="http://schemas.microsoft.com/office/infopath/2007/PartnerControls">f211eaaf-5fa2-42a2-8219-d984f2f14f0c</TermId>
        </TermInfo>
      </Terms>
    </gc6531b704974d528487414686b72f6f>
    <_dlc_DocId xmlns="f1161f5b-24a3-4c2d-bc81-44cb9325e8ee">ATLASPDC-4-167028</_dlc_DocId>
    <_dlc_DocIdUrl xmlns="f1161f5b-24a3-4c2d-bc81-44cb9325e8ee">
      <Url>https://info.undp.org/docs/pdc/_layouts/DocIdRedir.aspx?ID=ATLASPDC-4-167028</Url>
      <Description>ATLASPDC-4-167028</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11152E0-AE20-42D4-B301-35DD283A2485}"/>
</file>

<file path=customXml/itemProps2.xml><?xml version="1.0" encoding="utf-8"?>
<ds:datastoreItem xmlns:ds="http://schemas.openxmlformats.org/officeDocument/2006/customXml" ds:itemID="{77AFC0DA-4C2A-425A-A970-D8C378E847AE}"/>
</file>

<file path=customXml/itemProps3.xml><?xml version="1.0" encoding="utf-8"?>
<ds:datastoreItem xmlns:ds="http://schemas.openxmlformats.org/officeDocument/2006/customXml" ds:itemID="{0B45FD75-24D5-431E-8F41-69AED7E6F249}"/>
</file>

<file path=customXml/itemProps4.xml><?xml version="1.0" encoding="utf-8"?>
<ds:datastoreItem xmlns:ds="http://schemas.openxmlformats.org/officeDocument/2006/customXml" ds:itemID="{F80D4B74-0C15-42B1-8F06-684885311705}"/>
</file>

<file path=customXml/itemProps5.xml><?xml version="1.0" encoding="utf-8"?>
<ds:datastoreItem xmlns:ds="http://schemas.openxmlformats.org/officeDocument/2006/customXml" ds:itemID="{DB5E8CA0-1F3E-45E8-84F5-C3DBD6BA854A}"/>
</file>

<file path=docProps/app.xml><?xml version="1.0" encoding="utf-8"?>
<Properties xmlns="http://schemas.openxmlformats.org/officeDocument/2006/extended-properties" xmlns:vt="http://schemas.openxmlformats.org/officeDocument/2006/docPropsVTypes">
  <Template>Normal</Template>
  <TotalTime>30</TotalTime>
  <Pages>5</Pages>
  <Words>709</Words>
  <Characters>4046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Capture d'écran clôture financière CEOMP 00125853</dc:title>
  <dc:subject/>
  <dc:creator>Komi Nyuiadzi Zikpi</dc:creator>
  <cp:keywords/>
  <dc:description/>
  <cp:lastModifiedBy>Komi Nyuiadzi Zikpi</cp:lastModifiedBy>
  <cp:revision>5</cp:revision>
  <dcterms:created xsi:type="dcterms:W3CDTF">2022-12-06T18:28:00Z</dcterms:created>
  <dcterms:modified xsi:type="dcterms:W3CDTF">2022-12-06T19:01:00Z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1658;#TGO|f211eaaf-5fa2-42a2-8219-d984f2f14f0c</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b6b48dc7-9505-467e-86e5-981190d3b706</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